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314"/>
      </w:tblGrid>
      <w:tr w:rsidR="00C10F08" w:rsidRPr="009C5FA9" w:rsidTr="00C10F08">
        <w:trPr>
          <w:trHeight w:val="3265"/>
        </w:trPr>
        <w:tc>
          <w:tcPr>
            <w:tcW w:w="10314" w:type="dxa"/>
          </w:tcPr>
          <w:p w:rsidR="00C10F08" w:rsidRPr="009C5FA9" w:rsidRDefault="00C10F08" w:rsidP="00CB6BC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-3810</wp:posOffset>
                  </wp:positionV>
                  <wp:extent cx="812165" cy="914400"/>
                  <wp:effectExtent l="19050" t="0" r="6985" b="0"/>
                  <wp:wrapTopAndBottom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5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депутатов </w:t>
            </w:r>
          </w:p>
          <w:p w:rsidR="00C10F08" w:rsidRPr="009C5FA9" w:rsidRDefault="00C10F08" w:rsidP="00CB6B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сельского поселения</w:t>
            </w:r>
          </w:p>
          <w:p w:rsidR="00C10F08" w:rsidRPr="009C5FA9" w:rsidRDefault="00C10F08" w:rsidP="00CB6BC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«Верхнеилькинское»</w:t>
            </w:r>
          </w:p>
          <w:p w:rsidR="00C10F08" w:rsidRPr="009C5FA9" w:rsidRDefault="00C10F08" w:rsidP="00CB6BCC">
            <w:pPr>
              <w:pBdr>
                <w:bottom w:val="single" w:sz="12" w:space="1" w:color="auto"/>
              </w:pBd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Заиграевского района Республики Бурятия</w:t>
            </w:r>
          </w:p>
          <w:p w:rsidR="00C10F08" w:rsidRPr="009C5FA9" w:rsidRDefault="00C10F08" w:rsidP="00CB6BC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sz w:val="24"/>
                <w:szCs w:val="24"/>
              </w:rPr>
              <w:t>671337,   Республика Бурятия, Заиграевский район, село Ташелан, ул. Ленина,29 телефон 8(30136) 55-2-64, электронная почта: verchilka2012@yandex.ru</w:t>
            </w:r>
          </w:p>
          <w:p w:rsidR="00C10F08" w:rsidRPr="009C5FA9" w:rsidRDefault="00C10F08" w:rsidP="00CB6BC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F08" w:rsidRPr="009C5FA9" w:rsidTr="00C10F08">
        <w:tc>
          <w:tcPr>
            <w:tcW w:w="10314" w:type="dxa"/>
          </w:tcPr>
          <w:p w:rsidR="00C10F08" w:rsidRPr="009C5FA9" w:rsidRDefault="00C10F08" w:rsidP="00CB6B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  <w:tr w:rsidR="00C10F08" w:rsidRPr="009C5FA9" w:rsidTr="00C10F08">
        <w:tc>
          <w:tcPr>
            <w:tcW w:w="10314" w:type="dxa"/>
          </w:tcPr>
          <w:p w:rsidR="00C10F08" w:rsidRPr="009C5FA9" w:rsidRDefault="00C10F08" w:rsidP="00CB6B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F08" w:rsidRPr="009C5FA9" w:rsidTr="00C10F08">
        <w:tc>
          <w:tcPr>
            <w:tcW w:w="10314" w:type="dxa"/>
          </w:tcPr>
          <w:p w:rsidR="00C10F08" w:rsidRPr="009C5FA9" w:rsidRDefault="009938F4" w:rsidP="009938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25.12</w:t>
            </w:r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>.2024 года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 </w:t>
            </w:r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 w:rsidR="009C5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proofErr w:type="spellStart"/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="00C10F08" w:rsidRPr="009C5FA9">
              <w:rPr>
                <w:rFonts w:ascii="Times New Roman" w:hAnsi="Times New Roman" w:cs="Times New Roman"/>
                <w:bCs/>
                <w:sz w:val="24"/>
                <w:szCs w:val="24"/>
              </w:rPr>
              <w:t>ашелан</w:t>
            </w:r>
            <w:proofErr w:type="spellEnd"/>
          </w:p>
        </w:tc>
      </w:tr>
      <w:tr w:rsidR="00C10F08" w:rsidRPr="009C5FA9" w:rsidTr="00C10F08">
        <w:tc>
          <w:tcPr>
            <w:tcW w:w="10314" w:type="dxa"/>
          </w:tcPr>
          <w:p w:rsidR="00C10F08" w:rsidRPr="009C5FA9" w:rsidRDefault="00C10F08" w:rsidP="00CB6BC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F08" w:rsidRPr="009C5FA9" w:rsidTr="00C10F08">
        <w:tc>
          <w:tcPr>
            <w:tcW w:w="10314" w:type="dxa"/>
          </w:tcPr>
          <w:p w:rsidR="00C10F08" w:rsidRPr="009938F4" w:rsidRDefault="00C10F08" w:rsidP="0099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b/>
                <w:sz w:val="24"/>
                <w:szCs w:val="24"/>
              </w:rPr>
              <w:t>«Об установлении туристического налога на территории муниципального образования сельского поселения «Верхнеилькинское»</w:t>
            </w:r>
            <w:r w:rsidRPr="009C5F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Заиграевского района Республики Бурятия</w:t>
            </w:r>
            <w:r w:rsidR="00D424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:rsidR="00093641" w:rsidRPr="009C5FA9" w:rsidRDefault="00093641" w:rsidP="002926C1">
      <w:pPr>
        <w:pStyle w:val="Default"/>
        <w:jc w:val="both"/>
      </w:pPr>
    </w:p>
    <w:p w:rsidR="00C10F08" w:rsidRPr="009C5FA9" w:rsidRDefault="00C10F08" w:rsidP="002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Руководствуясь Федеральным законом от 12.07.2024 г. №176-ФЗ (ред. От 29.10.2024) «О внесении изменений в части первую и вторую Налогового кодекса Российской Федерации, отдельные законодательные акты Российской Федерации», Федеральным законом от 06.10.2003 года №131-ФЗ «Об</w:t>
      </w:r>
      <w:r w:rsidR="008A0A66" w:rsidRPr="009C5FA9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Российской Федерации», Уставом</w:t>
      </w:r>
      <w:r w:rsidR="008A0A66" w:rsidRPr="009C5FA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сельского поселения «Верхнеилькинское», </w:t>
      </w:r>
      <w:r w:rsidR="008A0A66" w:rsidRPr="009C5F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 депутатов решил:</w:t>
      </w:r>
    </w:p>
    <w:p w:rsidR="00FD41D0" w:rsidRPr="009C5FA9" w:rsidRDefault="002926C1" w:rsidP="00FD41D0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 xml:space="preserve">Установить и ввести в действие с 1 января 2025 года на территории </w:t>
      </w:r>
      <w:r w:rsidR="008A0A66" w:rsidRPr="009C5FA9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«Верхнеилькинское» Заиграевского района Республики Бурятия</w:t>
      </w:r>
      <w:r w:rsidR="00FD41D0" w:rsidRPr="009C5FA9">
        <w:rPr>
          <w:rFonts w:ascii="Times New Roman" w:hAnsi="Times New Roman" w:cs="Times New Roman"/>
          <w:sz w:val="24"/>
          <w:szCs w:val="24"/>
        </w:rPr>
        <w:t xml:space="preserve"> туристический налог в соответствии со ст.15, 418.1 Налогового Кодекса Российской Федерации.</w:t>
      </w:r>
    </w:p>
    <w:p w:rsidR="00FD41D0" w:rsidRPr="009C5FA9" w:rsidRDefault="002926C1" w:rsidP="002926C1">
      <w:pPr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 xml:space="preserve">Установить следующие ставки туристического налога </w:t>
      </w:r>
      <w:r w:rsidR="00FD41D0" w:rsidRPr="009C5FA9">
        <w:rPr>
          <w:rFonts w:ascii="Times New Roman" w:hAnsi="Times New Roman" w:cs="Times New Roman"/>
          <w:sz w:val="24"/>
          <w:szCs w:val="24"/>
        </w:rPr>
        <w:t xml:space="preserve"> с 2025 года в размере 1% от</w:t>
      </w:r>
      <w:r w:rsidRPr="009C5FA9">
        <w:rPr>
          <w:rFonts w:ascii="Times New Roman" w:hAnsi="Times New Roman" w:cs="Times New Roman"/>
          <w:sz w:val="24"/>
          <w:szCs w:val="24"/>
        </w:rPr>
        <w:t xml:space="preserve"> стоимости оказываемой услуги </w:t>
      </w:r>
      <w:r w:rsidR="00FD41D0" w:rsidRPr="009C5FA9">
        <w:rPr>
          <w:rFonts w:ascii="Times New Roman" w:hAnsi="Times New Roman" w:cs="Times New Roman"/>
          <w:sz w:val="24"/>
          <w:szCs w:val="24"/>
        </w:rPr>
        <w:t>проживания, но не менее 100 рублей за сутки проживания. Далее налоговую ставку увеличивать по одному проценту в год до 2029 года. После 2029 года налоговая ставка не должна превышать 5%.</w:t>
      </w:r>
    </w:p>
    <w:p w:rsidR="002926C1" w:rsidRPr="009C5FA9" w:rsidRDefault="002926C1" w:rsidP="00F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- с 01.01.2025 - в размере 1 процента от налоговой базы;</w:t>
      </w:r>
    </w:p>
    <w:p w:rsidR="002926C1" w:rsidRPr="009C5FA9" w:rsidRDefault="002926C1" w:rsidP="0029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 xml:space="preserve">- с 01.01.2026 - в размере 2 процентов от налоговой базы;  </w:t>
      </w:r>
    </w:p>
    <w:p w:rsidR="002926C1" w:rsidRPr="009C5FA9" w:rsidRDefault="002926C1" w:rsidP="0029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- с 01.01.2027 - в размере 3 процентов от налоговой базы;</w:t>
      </w:r>
    </w:p>
    <w:p w:rsidR="002926C1" w:rsidRPr="009C5FA9" w:rsidRDefault="002926C1" w:rsidP="0029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- с 01.01.2028 - в размере 4 процентов от налоговой базы;</w:t>
      </w:r>
    </w:p>
    <w:p w:rsidR="002926C1" w:rsidRPr="009C5FA9" w:rsidRDefault="002926C1" w:rsidP="0029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- с 01.01.2029 - в размере 5 процентов от налоговой базы;</w:t>
      </w:r>
    </w:p>
    <w:p w:rsidR="00FD41D0" w:rsidRPr="009C5FA9" w:rsidRDefault="00FD41D0" w:rsidP="002926C1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Налогоплательщиками данного налога признаются организации и физические лица в соответствии со ст.418.2 Налогового Кодекса Российской Федерации.</w:t>
      </w:r>
    </w:p>
    <w:p w:rsidR="00FD41D0" w:rsidRPr="009C5FA9" w:rsidRDefault="00FD41D0" w:rsidP="002926C1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в соответствии со ст.418.3 Налогового Кодекса Российской Федерации.</w:t>
      </w:r>
    </w:p>
    <w:p w:rsidR="002A4036" w:rsidRPr="009C5FA9" w:rsidRDefault="002926C1" w:rsidP="002A4036">
      <w:pPr>
        <w:pStyle w:val="a3"/>
        <w:numPr>
          <w:ilvl w:val="0"/>
          <w:numId w:val="1"/>
        </w:numPr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C5FA9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FD41D0" w:rsidRPr="009C5FA9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9C5FA9">
        <w:rPr>
          <w:rFonts w:ascii="Times New Roman" w:hAnsi="Times New Roman" w:cs="Times New Roman"/>
          <w:sz w:val="24"/>
          <w:szCs w:val="24"/>
        </w:rPr>
        <w:t>категории физических лиц, стоимость услуг по временному проживанию которых, при условии предоставления налогоплательщику документов, подтверждающих соответствующий статус физического лица, не включается в налоговую базу: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1) Герои Советского Союза и Герои Российской Федерации, а также лица, награжденные орденом Славы трех степеней;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2) инвалиды I и II групп инвалидности;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3) инвалиды с детства, дети-инвалиды;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lastRenderedPageBreak/>
        <w:t>4) участники гражданской войны, Великой Отечественной войны, других боевых операций по защите СССР из числа военнослужащих, проходивших службу в воинских частях, штабах и учреждениях, входивших в состав действующей армии, и бывших партизан, а также ветераны боевых действий;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proofErr w:type="gramStart"/>
      <w:r w:rsidRPr="009C5FA9">
        <w:rPr>
          <w:color w:val="000000"/>
        </w:rPr>
        <w:t>5) лица вольнонаемного состава Советской Армии, Военно-Морского Флота, органов внутренних дел и государственной безопасности, занимавшие штатные должности в воинских частях, штабах и учреждениях, входивших в состав действующей армии в период Великой Отечественной войны, либо лица, находившиеся в этот период в городах, участие в обороне которых засчитывается этим лицам в выслугу лет для назначения пенсии на льготных условиях, установленных для военнослужащих</w:t>
      </w:r>
      <w:proofErr w:type="gramEnd"/>
      <w:r w:rsidRPr="009C5FA9">
        <w:rPr>
          <w:color w:val="000000"/>
        </w:rPr>
        <w:t> частей действующей армии;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proofErr w:type="gramStart"/>
      <w:r w:rsidRPr="009C5FA9">
        <w:rPr>
          <w:color w:val="000000"/>
        </w:rPr>
        <w:t>6) лица, имеющие право на получение социальной поддержки в соответствии с Законом Российской Федерации от 15 мая 1991 года N 1244-1 "О социальной защите граждан, подвергшихся воздействию радиации вследствие катастрофы на Чернобыльской АЭС", в соответствии с Федеральным законом от 26 ноября 1998 года N 175-ФЗ "О социальной защите граждан Российской Федерации, подвергшихся воздействию радиации вследствие аварии в 1957 году на</w:t>
      </w:r>
      <w:proofErr w:type="gramEnd"/>
      <w:r w:rsidRPr="009C5FA9">
        <w:rPr>
          <w:color w:val="000000"/>
        </w:rPr>
        <w:t> </w:t>
      </w:r>
      <w:proofErr w:type="gramStart"/>
      <w:r w:rsidRPr="009C5FA9">
        <w:rPr>
          <w:color w:val="000000"/>
        </w:rPr>
        <w:t>производственном объединении "Маяк" и сбросов радиоактивных отходов в реку Теча" и Федеральным законом от 10 января 2002 года N 2-ФЗ "О социальных гарантиях гражданам, подвергшимся радиационному воздействию вследствие ядерных испытаний на Семипалатинском полигоне";</w:t>
      </w:r>
      <w:proofErr w:type="gramEnd"/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7) военнослужащие, а также граждане, уволенные с военной службы по достижении предельного возраста пребывания на военной службе, состоянию здоровья или в связи с организационно-штатными мероприятиями, имеющие общую продолжительность военной службы 20 лет и более;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8) лица, принимавшие непосредственное участие в составе подразделений особого риска в испытаниях ядерного и термоядерного оружия, ликвидации аварий ядерных установок на средствах вооружения и военных объектах;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9) члены семей военнослужащих, потерявших кормильца, признаваемые таковыми в соответствии с Федеральным законом от 27 мая 1998 года N 76-ФЗ "О статусе военнослужащих";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10) пенсионеры, получающие пенсии, назначаемые в порядке, установленном пенсионным законодательством, а также лица, достигшие возраста 60 и 55 лет (соответственно мужчины и женщины), которым в соответствии с законодательством Российской Федерации выплачивается ежемесячное пожизненное содержание;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10.1) физические лица, соответствующие условиям, необходимым для назначения пенсии в соответствии с законодательством Российской Федерации, действовавшим на 31 декабря 2018 года;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11) граждане, уволенные с военной службы или призывавшиеся на военные сборы, выполнявшие интернациональный долг в Афганистане и других странах, в которых велись боевые действия;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12) физические лица, получившие или перенесшие лучевую болезнь или ставшие инвалидами в результате испытаний, учений и иных работ, связанных с любыми видами ядерных установок, включая ядерное оружие и космическую технику;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13) родители и супруги военнослужащих и государственных служащих, погибших при исполнении служебных обязанностей;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14) физические лица, осуществляющие профессиональную творческую деятельность, - в отношении специально оборудованных помещений, сооружений, используемых ими исключительно в качестве творческих мастерских, ателье, студий, а также жилых домов, квартир, комнат, используемых для организации открытых для посещения негосударственных музеев, галерей, библиотек, - на период такого их использования;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left="10" w:firstLine="699"/>
        <w:jc w:val="both"/>
        <w:rPr>
          <w:color w:val="000000"/>
        </w:rPr>
      </w:pPr>
      <w:r w:rsidRPr="009C5FA9">
        <w:rPr>
          <w:color w:val="000000"/>
        </w:rPr>
        <w:t>15) физические лица - в отношении хозяйственных строений или сооружений, площадь каждого из которых не превышает 50 квадратных метров и которые расположены на земельных участках, предоставленных для ведения личного подсобного, дачного хозяйства, огородничества, садоводства или индивидуального жилищного строительства.</w:t>
      </w:r>
    </w:p>
    <w:p w:rsidR="002A4036" w:rsidRPr="009C5FA9" w:rsidRDefault="002A4036" w:rsidP="009C5FA9">
      <w:pPr>
        <w:pStyle w:val="a7"/>
        <w:spacing w:before="0" w:beforeAutospacing="0" w:after="0" w:afterAutospacing="0"/>
        <w:ind w:firstLine="699"/>
        <w:jc w:val="both"/>
        <w:rPr>
          <w:color w:val="000000"/>
        </w:rPr>
      </w:pPr>
      <w:proofErr w:type="gramStart"/>
      <w:r w:rsidRPr="009C5FA9">
        <w:rPr>
          <w:color w:val="000000"/>
        </w:rPr>
        <w:t>16) физические лица, являющимися членами </w:t>
      </w:r>
      <w:r w:rsidRPr="009C5FA9">
        <w:rPr>
          <w:rStyle w:val="blk"/>
          <w:color w:val="000000"/>
        </w:rPr>
        <w:t xml:space="preserve">многодетных семей, среднедушевой доход семьи которых ниже величины прожиточного минимума на душу населения, установленного в Республике Бурятия, и зарегистрированным на территории муниципального образования </w:t>
      </w:r>
      <w:r w:rsidRPr="009C5FA9">
        <w:rPr>
          <w:rStyle w:val="blk"/>
          <w:color w:val="000000"/>
        </w:rPr>
        <w:lastRenderedPageBreak/>
        <w:t>«Заиграевский район», в отношении находящегося в собственности единственного жилого дома или части жилого дома (квартиры, части квартиры или комнаты), расположенного на территории этого муниципального образования.</w:t>
      </w:r>
      <w:proofErr w:type="gramEnd"/>
    </w:p>
    <w:p w:rsidR="002A4036" w:rsidRPr="009C5FA9" w:rsidRDefault="002A4036" w:rsidP="002A4036">
      <w:pPr>
        <w:pStyle w:val="a7"/>
        <w:spacing w:before="0" w:beforeAutospacing="0" w:after="0" w:afterAutospacing="0"/>
        <w:ind w:firstLine="504"/>
        <w:jc w:val="both"/>
        <w:rPr>
          <w:color w:val="000000"/>
        </w:rPr>
      </w:pPr>
      <w:r w:rsidRPr="009C5FA9">
        <w:rPr>
          <w:rStyle w:val="blk"/>
          <w:color w:val="000000"/>
        </w:rPr>
        <w:t>- Субъекты, указанные в подпункте 16, утрачивают право на предоставление налоговой льготы в следующих случаях:</w:t>
      </w:r>
    </w:p>
    <w:p w:rsidR="002A4036" w:rsidRPr="009C5FA9" w:rsidRDefault="002A4036" w:rsidP="002A4036">
      <w:pPr>
        <w:pStyle w:val="a7"/>
        <w:spacing w:before="0" w:beforeAutospacing="0" w:after="0" w:afterAutospacing="0"/>
        <w:ind w:firstLine="504"/>
        <w:jc w:val="both"/>
        <w:rPr>
          <w:color w:val="000000"/>
        </w:rPr>
      </w:pPr>
      <w:r w:rsidRPr="009C5FA9">
        <w:rPr>
          <w:rStyle w:val="blk"/>
          <w:color w:val="000000"/>
        </w:rPr>
        <w:t>1.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2A4036" w:rsidRPr="009C5FA9" w:rsidRDefault="002A4036" w:rsidP="002A4036">
      <w:pPr>
        <w:pStyle w:val="a7"/>
        <w:spacing w:before="0" w:beforeAutospacing="0" w:after="0" w:afterAutospacing="0"/>
        <w:ind w:firstLine="504"/>
        <w:jc w:val="both"/>
        <w:rPr>
          <w:rStyle w:val="blk"/>
          <w:color w:val="000000"/>
        </w:rPr>
      </w:pPr>
      <w:r w:rsidRPr="009C5FA9">
        <w:rPr>
          <w:rStyle w:val="blk"/>
          <w:color w:val="000000"/>
        </w:rPr>
        <w:t xml:space="preserve">2. со дня государственной регистрации права собственности (доли в праве собственности) второго жилого дома или части жилого дома </w:t>
      </w:r>
      <w:proofErr w:type="gramStart"/>
      <w:r w:rsidRPr="009C5FA9">
        <w:rPr>
          <w:rStyle w:val="blk"/>
          <w:color w:val="000000"/>
        </w:rPr>
        <w:t xml:space="preserve">( </w:t>
      </w:r>
      <w:proofErr w:type="gramEnd"/>
      <w:r w:rsidRPr="009C5FA9">
        <w:rPr>
          <w:rStyle w:val="blk"/>
          <w:color w:val="000000"/>
        </w:rPr>
        <w:t>квартиры, части квартиры или комнаты).</w:t>
      </w:r>
    </w:p>
    <w:p w:rsidR="002A4036" w:rsidRPr="009C5FA9" w:rsidRDefault="002A4036" w:rsidP="00C27151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C5FA9">
        <w:rPr>
          <w:rStyle w:val="blk"/>
          <w:color w:val="000000"/>
        </w:rPr>
        <w:t>17) лицам, местом постоянной регистрации которых является территория муниципального образования сельского поселения «Верх</w:t>
      </w:r>
      <w:r w:rsidR="009C5FA9" w:rsidRPr="009C5FA9">
        <w:rPr>
          <w:rStyle w:val="blk"/>
          <w:color w:val="000000"/>
        </w:rPr>
        <w:t>неилькинское» Заиграевского района Республики Бурятия.</w:t>
      </w:r>
    </w:p>
    <w:p w:rsidR="009C5FA9" w:rsidRPr="009C5FA9" w:rsidRDefault="009C5FA9" w:rsidP="009C5FA9">
      <w:pPr>
        <w:pStyle w:val="a7"/>
        <w:spacing w:before="0" w:beforeAutospacing="0" w:after="0" w:afterAutospacing="0"/>
        <w:ind w:firstLine="504"/>
        <w:jc w:val="both"/>
        <w:rPr>
          <w:color w:val="000000"/>
        </w:rPr>
      </w:pPr>
      <w:r w:rsidRPr="009C5FA9">
        <w:rPr>
          <w:color w:val="000000"/>
        </w:rPr>
        <w:t>6. Обнародовать настоящее Решение на информационных стендах администрации и в населённых пунктах муниципального образования сельского поселения «Верхнеилькинское» Заиграевского района Республики Бурятия, на официальном сайте администрации поселения не позднее 10 дней после его подписания.</w:t>
      </w:r>
    </w:p>
    <w:p w:rsidR="009C5FA9" w:rsidRPr="009C5FA9" w:rsidRDefault="009C5FA9" w:rsidP="009C5FA9">
      <w:pPr>
        <w:pStyle w:val="normalweb"/>
        <w:spacing w:before="0" w:beforeAutospacing="0" w:after="0" w:afterAutospacing="0"/>
        <w:ind w:firstLine="504"/>
        <w:jc w:val="both"/>
        <w:rPr>
          <w:color w:val="000000"/>
        </w:rPr>
      </w:pPr>
      <w:r w:rsidRPr="009C5FA9">
        <w:rPr>
          <w:color w:val="000000"/>
        </w:rPr>
        <w:t>7. Копию настоящего решение и информацию об изменении налога на имущество физических лиц направить в Управление Федеральной налоговой службы по Республике Бурятия в порядке и сроки, установленные статьей 16 </w:t>
      </w:r>
      <w:hyperlink r:id="rId6" w:tgtFrame="_blank" w:history="1">
        <w:r w:rsidRPr="009C5FA9">
          <w:rPr>
            <w:rStyle w:val="hyperlink"/>
            <w:color w:val="0000FF"/>
          </w:rPr>
          <w:t>Налогового Кодекса Российской Федерации</w:t>
        </w:r>
      </w:hyperlink>
      <w:r w:rsidRPr="009C5FA9">
        <w:rPr>
          <w:color w:val="000000"/>
        </w:rPr>
        <w:t>.</w:t>
      </w:r>
    </w:p>
    <w:p w:rsidR="009C5FA9" w:rsidRPr="009C5FA9" w:rsidRDefault="009C5FA9" w:rsidP="009C5FA9">
      <w:pPr>
        <w:pStyle w:val="a7"/>
        <w:spacing w:before="0" w:beforeAutospacing="0" w:after="0" w:afterAutospacing="0"/>
        <w:ind w:firstLine="504"/>
        <w:jc w:val="both"/>
        <w:rPr>
          <w:color w:val="000000"/>
        </w:rPr>
      </w:pPr>
      <w:r w:rsidRPr="009C5FA9">
        <w:rPr>
          <w:color w:val="000000"/>
        </w:rPr>
        <w:t>8. Настоящее Решение вступает в силу с момента его официального обнародования и распространяется на правоотношения, возникшие с 01.01.2024 года.</w:t>
      </w:r>
    </w:p>
    <w:p w:rsidR="00BF360D" w:rsidRPr="009C5FA9" w:rsidRDefault="00BF360D" w:rsidP="0029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60D" w:rsidRPr="009C5FA9" w:rsidRDefault="00BF360D" w:rsidP="00292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353"/>
        <w:gridCol w:w="1701"/>
        <w:gridCol w:w="583"/>
        <w:gridCol w:w="1934"/>
      </w:tblGrid>
      <w:tr w:rsidR="009C5FA9" w:rsidRPr="009C5FA9" w:rsidTr="00A36CDA">
        <w:tc>
          <w:tcPr>
            <w:tcW w:w="5353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sz w:val="24"/>
                <w:szCs w:val="24"/>
              </w:rPr>
              <w:t>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bottom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FA9">
              <w:rPr>
                <w:rFonts w:ascii="Times New Roman" w:hAnsi="Times New Roman" w:cs="Times New Roman"/>
                <w:sz w:val="24"/>
                <w:szCs w:val="24"/>
              </w:rPr>
              <w:t>К.П.Козик</w:t>
            </w:r>
            <w:proofErr w:type="spellEnd"/>
          </w:p>
        </w:tc>
      </w:tr>
      <w:tr w:rsidR="009C5FA9" w:rsidRPr="009C5FA9" w:rsidTr="00A36CDA">
        <w:tc>
          <w:tcPr>
            <w:tcW w:w="5353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A9" w:rsidRPr="009C5FA9" w:rsidTr="00A36CDA">
        <w:tc>
          <w:tcPr>
            <w:tcW w:w="5353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sz w:val="24"/>
                <w:szCs w:val="24"/>
              </w:rPr>
              <w:t>Глава МО СП «Верхнеилькинское»: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9C5FA9" w:rsidRPr="009C5FA9" w:rsidRDefault="009C5FA9" w:rsidP="00A36CDA">
            <w:pPr>
              <w:pStyle w:val="50"/>
              <w:shd w:val="clear" w:color="auto" w:fill="auto"/>
              <w:tabs>
                <w:tab w:val="left" w:pos="-142"/>
                <w:tab w:val="left" w:pos="7289"/>
              </w:tabs>
              <w:spacing w:after="0" w:line="240" w:lineRule="auto"/>
              <w:ind w:right="2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C5FA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C5FA9">
              <w:rPr>
                <w:rFonts w:ascii="Times New Roman" w:hAnsi="Times New Roman" w:cs="Times New Roman"/>
                <w:sz w:val="24"/>
                <w:szCs w:val="24"/>
              </w:rPr>
              <w:t>А. Спирин</w:t>
            </w:r>
          </w:p>
        </w:tc>
      </w:tr>
    </w:tbl>
    <w:p w:rsidR="001E7FB1" w:rsidRPr="009C5FA9" w:rsidRDefault="001E7FB1" w:rsidP="009C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FB1" w:rsidRPr="009C5FA9" w:rsidSect="002926C1">
      <w:pgSz w:w="11906" w:h="16838"/>
      <w:pgMar w:top="1276" w:right="566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9C3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FA843FF"/>
    <w:multiLevelType w:val="hybridMultilevel"/>
    <w:tmpl w:val="5BE8399A"/>
    <w:lvl w:ilvl="0" w:tplc="484E348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D005B6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8B45656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4ECB686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B6D070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065E6C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770DCE6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1167266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0B68D2E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BD4"/>
    <w:rsid w:val="00056ABC"/>
    <w:rsid w:val="00093641"/>
    <w:rsid w:val="001119FB"/>
    <w:rsid w:val="0019349B"/>
    <w:rsid w:val="00196E1F"/>
    <w:rsid w:val="001B4513"/>
    <w:rsid w:val="001E7FB1"/>
    <w:rsid w:val="00215939"/>
    <w:rsid w:val="00227744"/>
    <w:rsid w:val="002926C1"/>
    <w:rsid w:val="002A4036"/>
    <w:rsid w:val="002C4E4D"/>
    <w:rsid w:val="002D3732"/>
    <w:rsid w:val="002F01E2"/>
    <w:rsid w:val="003B05E6"/>
    <w:rsid w:val="003B1137"/>
    <w:rsid w:val="003C6180"/>
    <w:rsid w:val="004571B7"/>
    <w:rsid w:val="004B63A9"/>
    <w:rsid w:val="004C5E32"/>
    <w:rsid w:val="004C7DF2"/>
    <w:rsid w:val="004E7892"/>
    <w:rsid w:val="00582CF3"/>
    <w:rsid w:val="00591C83"/>
    <w:rsid w:val="005A25D3"/>
    <w:rsid w:val="005D32BD"/>
    <w:rsid w:val="005F0FEC"/>
    <w:rsid w:val="00656C2C"/>
    <w:rsid w:val="00700F67"/>
    <w:rsid w:val="007C7E5C"/>
    <w:rsid w:val="007E7EC4"/>
    <w:rsid w:val="008A0A66"/>
    <w:rsid w:val="008D0F44"/>
    <w:rsid w:val="00902738"/>
    <w:rsid w:val="00984B05"/>
    <w:rsid w:val="009938F4"/>
    <w:rsid w:val="009965BB"/>
    <w:rsid w:val="009C5FA9"/>
    <w:rsid w:val="00A96155"/>
    <w:rsid w:val="00B22699"/>
    <w:rsid w:val="00BC3CC7"/>
    <w:rsid w:val="00BE2FF3"/>
    <w:rsid w:val="00BF360D"/>
    <w:rsid w:val="00C10F08"/>
    <w:rsid w:val="00C27151"/>
    <w:rsid w:val="00C95EAD"/>
    <w:rsid w:val="00CF30A2"/>
    <w:rsid w:val="00D07F8F"/>
    <w:rsid w:val="00D35A87"/>
    <w:rsid w:val="00D424F2"/>
    <w:rsid w:val="00DB1FA7"/>
    <w:rsid w:val="00DB2C78"/>
    <w:rsid w:val="00DD1E90"/>
    <w:rsid w:val="00E23633"/>
    <w:rsid w:val="00E54DE0"/>
    <w:rsid w:val="00EA67F7"/>
    <w:rsid w:val="00EC1090"/>
    <w:rsid w:val="00F25B3A"/>
    <w:rsid w:val="00F33157"/>
    <w:rsid w:val="00F67BD4"/>
    <w:rsid w:val="00F90196"/>
    <w:rsid w:val="00F95E2A"/>
    <w:rsid w:val="00FC17F5"/>
    <w:rsid w:val="00FD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s1">
    <w:name w:val="s_1"/>
    <w:basedOn w:val="a"/>
    <w:rsid w:val="004B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63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5A87"/>
    <w:rPr>
      <w:color w:val="0000FF"/>
      <w:u w:val="single"/>
    </w:rPr>
  </w:style>
  <w:style w:type="paragraph" w:customStyle="1" w:styleId="s15">
    <w:name w:val="s_15"/>
    <w:basedOn w:val="a"/>
    <w:rsid w:val="00F3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33157"/>
  </w:style>
  <w:style w:type="paragraph" w:customStyle="1" w:styleId="ConsPlusTitle">
    <w:name w:val="ConsPlusTitle"/>
    <w:link w:val="ConsPlusTitle0"/>
    <w:rsid w:val="005A25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">
    <w:name w:val="Без интервала1"/>
    <w:rsid w:val="005A25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7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1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3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0">
    <w:name w:val="ConsPlusTitle Знак"/>
    <w:link w:val="ConsPlusTitle"/>
    <w:locked/>
    <w:rsid w:val="001E7FB1"/>
    <w:rPr>
      <w:rFonts w:ascii="Calibri" w:eastAsiaTheme="minorEastAsia" w:hAnsi="Calibri" w:cs="Calibri"/>
      <w:b/>
      <w:lang w:eastAsia="ru-RU"/>
    </w:rPr>
  </w:style>
  <w:style w:type="paragraph" w:customStyle="1" w:styleId="ConsTitle">
    <w:name w:val="ConsTitle"/>
    <w:rsid w:val="00C10F08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10">
    <w:name w:val="a1"/>
    <w:basedOn w:val="a"/>
    <w:rsid w:val="002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4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A4036"/>
  </w:style>
  <w:style w:type="character" w:customStyle="1" w:styleId="hyperlink">
    <w:name w:val="hyperlink"/>
    <w:basedOn w:val="a0"/>
    <w:rsid w:val="009C5FA9"/>
  </w:style>
  <w:style w:type="paragraph" w:customStyle="1" w:styleId="normalweb">
    <w:name w:val="normalweb"/>
    <w:basedOn w:val="a"/>
    <w:rsid w:val="009C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9C5FA9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5FA9"/>
    <w:pPr>
      <w:shd w:val="clear" w:color="auto" w:fill="FFFFFF"/>
      <w:spacing w:after="780" w:line="322" w:lineRule="exact"/>
      <w:ind w:hanging="400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</dc:creator>
  <cp:lastModifiedBy>Админ</cp:lastModifiedBy>
  <cp:revision>2</cp:revision>
  <cp:lastPrinted>2024-12-23T02:47:00Z</cp:lastPrinted>
  <dcterms:created xsi:type="dcterms:W3CDTF">2024-12-23T02:48:00Z</dcterms:created>
  <dcterms:modified xsi:type="dcterms:W3CDTF">2024-12-23T02:48:00Z</dcterms:modified>
</cp:coreProperties>
</file>